
<file path=[Content_Types].xml><?xml version="1.0" encoding="utf-8"?>
<Types xmlns="http://schemas.openxmlformats.org/package/2006/content-types">
  <Default Extension="emf" ContentType="image/x-emf"/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e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ascii="Arial" w:hAnsi="Arial" w:cs="Arial"/>
          <w:b/>
          <w:bCs w:val="0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w:r>
        <w:rPr>
          <w:rFonts w:ascii="Arial" w:hAnsi="Arial" w:cs="Arial"/>
          <w:b/>
          <w:bCs w:val="0"/>
          <w:color w:val="000000" w:themeColor="text1"/>
          <w:sz w:val="22"/>
          <w14:textFill>
            <w14:solidFill>
              <w14:schemeClr w14:val="tx1"/>
            </w14:solidFill>
          </w14:textFill>
        </w:rPr>
        <w:t>Supplementary Figures</w:t>
      </w:r>
    </w:p>
    <w:p>
      <w:pPr>
        <w:spacing w:line="360" w:lineRule="auto"/>
        <w:rPr>
          <w:rFonts w:hint="default" w:ascii="Arial" w:hAnsi="Arial" w:cs="Arial"/>
          <w:b/>
          <w:bCs w:val="0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w:r>
        <w:rPr>
          <w:rFonts w:hint="default" w:ascii="Arial" w:hAnsi="Arial" w:cs="Arial"/>
          <w:b/>
          <w:bCs w:val="0"/>
          <w:color w:val="000000" w:themeColor="text1"/>
          <w:sz w:val="22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68595" cy="7025640"/>
            <wp:effectExtent l="0" t="0" r="14605" b="10160"/>
            <wp:docPr id="1" name="图片 1" descr="Figures_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s_S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</w:pPr>
      <w:r>
        <w:rPr>
          <w:rFonts w:ascii="Arial" w:hAnsi="Arial" w:eastAsia="宋体" w:cs="Arial"/>
          <w:b/>
          <w:bCs/>
          <w:color w:val="000000"/>
          <w:kern w:val="0"/>
          <w:sz w:val="22"/>
          <w:szCs w:val="22"/>
          <w:lang w:val="en-US" w:eastAsia="zh-CN" w:bidi="ar"/>
        </w:rPr>
        <w:t xml:space="preserve">FIGURE S1. </w:t>
      </w:r>
      <w:r>
        <w:rPr>
          <w:rFonts w:hint="eastAsia" w:ascii="Arial" w:hAnsi="Arial" w:eastAsia="宋体" w:cs="Arial"/>
          <w:b/>
          <w:bCs/>
          <w:color w:val="000000"/>
          <w:kern w:val="0"/>
          <w:sz w:val="22"/>
          <w:szCs w:val="22"/>
          <w:lang w:val="en-US" w:eastAsia="zh-CN" w:bidi="ar"/>
        </w:rPr>
        <w:t>A</w:t>
      </w:r>
      <w:r>
        <w:rPr>
          <w:rFonts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IMC images of different thickness FFPE tissue serial sections using CD44 (green), Collagen I (red) and DNA (blue) </w:t>
      </w: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>markers from 4 μm to 7 μm. Scale bars, 50 µm</w:t>
      </w:r>
      <w:r>
        <w:rPr>
          <w:rFonts w:hint="eastAsia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. </w:t>
      </w:r>
      <w:r>
        <w:rPr>
          <w:rFonts w:hint="eastAsia" w:ascii="Arial" w:hAnsi="Arial" w:eastAsia="宋体" w:cs="Arial"/>
          <w:b/>
          <w:bCs/>
          <w:color w:val="000000"/>
          <w:kern w:val="0"/>
          <w:sz w:val="22"/>
          <w:szCs w:val="22"/>
          <w:lang w:val="en-US" w:eastAsia="zh-CN" w:bidi="ar"/>
        </w:rPr>
        <w:t>B</w:t>
      </w: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IMC images of different thickness fresh-frozen tissue</w:t>
      </w:r>
      <w:r>
        <w:rPr>
          <w:rFonts w:hint="eastAsia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</w:t>
      </w: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>serial sections using CD44 (green), Collagen I (red) and DNA (blue) markers from 4 μm to 7 μm. Scale bars, 80 µm.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eastAsia="zh-CN" w:bidi="ar"/>
        </w:rPr>
      </w:pP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eastAsia="zh-CN" w:bidi="ar"/>
        </w:rPr>
        <w:drawing>
          <wp:inline distT="0" distB="0" distL="114300" distR="114300">
            <wp:extent cx="5268595" cy="7025640"/>
            <wp:effectExtent l="0" t="0" r="14605" b="10160"/>
            <wp:docPr id="2" name="图片 2" descr="Figures_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ures_S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</w:pPr>
      <w:r>
        <w:rPr>
          <w:rFonts w:ascii="Arial" w:hAnsi="Arial" w:eastAsia="宋体" w:cs="Arial"/>
          <w:b/>
          <w:bCs/>
          <w:color w:val="000000"/>
          <w:kern w:val="0"/>
          <w:sz w:val="22"/>
          <w:szCs w:val="22"/>
          <w:lang w:val="en-US" w:eastAsia="zh-CN" w:bidi="ar"/>
        </w:rPr>
        <w:t>FIGURE S2. A</w:t>
      </w:r>
      <w:r>
        <w:rPr>
          <w:rFonts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The flow chart of IMC data pre-processing. </w:t>
      </w:r>
      <w:r>
        <w:rPr>
          <w:rFonts w:ascii="Arial" w:hAnsi="Arial" w:eastAsia="宋体" w:cs="Arial"/>
          <w:b/>
          <w:bCs/>
          <w:color w:val="000000"/>
          <w:kern w:val="0"/>
          <w:sz w:val="22"/>
          <w:szCs w:val="22"/>
          <w:lang w:val="en-US" w:eastAsia="zh-CN" w:bidi="ar"/>
        </w:rPr>
        <w:t>B</w:t>
      </w:r>
      <w:r>
        <w:rPr>
          <w:rFonts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PhenoGraph analysis identified 27 cell clusters. </w:t>
      </w:r>
      <w:r>
        <w:rPr>
          <w:rFonts w:ascii="Arial" w:hAnsi="Arial" w:eastAsia="宋体" w:cs="Arial"/>
          <w:b/>
          <w:bCs/>
          <w:color w:val="000000"/>
          <w:kern w:val="0"/>
          <w:sz w:val="22"/>
          <w:szCs w:val="22"/>
          <w:lang w:val="en-US" w:eastAsia="zh-CN" w:bidi="ar"/>
        </w:rPr>
        <w:t>C</w:t>
      </w:r>
      <w:r>
        <w:rPr>
          <w:rFonts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Frequencies of </w:t>
      </w: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>epithelium, immune cells, endothlium, and myoepithelium for tumor subtypes. Wilcoxon rank-sum test was used for statistical analysis. *p &lt; 0.05, **p &lt; 0.01, ***p &lt; 0.001.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eastAsia="zh-CN" w:bidi="ar"/>
        </w:rPr>
      </w:pP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eastAsia="zh-CN" w:bidi="ar"/>
        </w:rPr>
        <w:drawing>
          <wp:inline distT="0" distB="0" distL="114300" distR="114300">
            <wp:extent cx="5268595" cy="7025640"/>
            <wp:effectExtent l="0" t="0" r="14605" b="10160"/>
            <wp:docPr id="3" name="图片 3" descr="Figures_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ures_S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</w:pPr>
      <w:r>
        <w:rPr>
          <w:rFonts w:hint="eastAsia" w:ascii="Arial" w:hAnsi="Arial" w:eastAsia="宋体" w:cs="Arial"/>
          <w:b/>
          <w:bCs/>
          <w:color w:val="000000"/>
          <w:kern w:val="0"/>
          <w:sz w:val="22"/>
          <w:szCs w:val="22"/>
          <w:lang w:val="en-US" w:eastAsia="zh-CN" w:bidi="ar"/>
        </w:rPr>
        <w:t>FIGURE S3. A-D</w:t>
      </w:r>
      <w:r>
        <w:rPr>
          <w:rFonts w:hint="eastAsia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The correlation between</w:t>
      </w: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immune populations</w:t>
      </w:r>
      <w:r>
        <w:rPr>
          <w:rFonts w:hint="eastAsia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 xml:space="preserve"> and </w:t>
      </w:r>
      <w:r>
        <w:rPr>
          <w:rFonts w:hint="eastAsia" w:ascii="Arial" w:hAnsi="Arial" w:cs="Arial"/>
          <w:sz w:val="22"/>
          <w:szCs w:val="22"/>
          <w:lang w:val="en-US" w:eastAsia="zh-CN"/>
        </w:rPr>
        <w:t>m</w:t>
      </w:r>
      <w:r>
        <w:rPr>
          <w:rFonts w:hint="default" w:ascii="Arial" w:hAnsi="Arial" w:cs="Arial"/>
          <w:sz w:val="22"/>
          <w:szCs w:val="22"/>
        </w:rPr>
        <w:t>onocyt</w:t>
      </w:r>
      <w:r>
        <w:rPr>
          <w:rFonts w:hint="eastAsia" w:ascii="Arial" w:hAnsi="Arial" w:cs="Arial"/>
          <w:sz w:val="22"/>
          <w:szCs w:val="22"/>
          <w:lang w:val="en-US" w:eastAsia="zh-CN"/>
        </w:rPr>
        <w:t xml:space="preserve">e, myeloid, macrophages and CDH1+ cells. </w:t>
      </w:r>
      <w:r>
        <w:rPr>
          <w:rFonts w:hint="eastAsia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>The c</w:t>
      </w:r>
      <w:r>
        <w:rPr>
          <w:rFonts w:hint="default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>orrelation analysis was adopted using Pearson’s correlation</w:t>
      </w:r>
      <w:r>
        <w:rPr>
          <w:rFonts w:hint="eastAsia" w:ascii="Arial" w:hAnsi="Arial" w:eastAsia="宋体" w:cs="Arial"/>
          <w:b w:val="0"/>
          <w:bCs w:val="0"/>
          <w:color w:val="000000"/>
          <w:kern w:val="0"/>
          <w:sz w:val="22"/>
          <w:szCs w:val="22"/>
          <w:lang w:val="en-US" w:eastAsia="zh-CN" w:bidi="ar"/>
        </w:rPr>
        <w:t>.</w:t>
      </w:r>
    </w:p>
    <w:p>
      <w:pPr>
        <w:widowControl/>
        <w:jc w:val="left"/>
        <w:rPr>
          <w:rFonts w:ascii="Arial" w:hAnsi="Arial" w:cs="Arial"/>
          <w:color w:val="000000" w:themeColor="text1"/>
          <w:sz w:val="22"/>
          <w14:textFill>
            <w14:solidFill>
              <w14:schemeClr w14:val="tx1"/>
            </w14:solidFill>
          </w14:textFill>
        </w:rPr>
      </w:pPr>
    </w:p>
    <w:p>
      <w:pPr>
        <w:widowControl/>
        <w:jc w:val="left"/>
        <w:rPr>
          <w:rFonts w:ascii="Arial" w:hAnsi="Arial" w:cs="Arial"/>
          <w:color w:val="000000" w:themeColor="text1"/>
          <w:sz w:val="22"/>
          <w14:textFill>
            <w14:solidFill>
              <w14:schemeClr w14:val="tx1"/>
            </w14:solidFill>
          </w14:textFill>
        </w:rPr>
      </w:pPr>
    </w:p>
    <w:p>
      <w:pPr>
        <w:widowControl/>
        <w:jc w:val="left"/>
        <w:rPr>
          <w:rFonts w:ascii="Arial" w:hAnsi="Arial" w:cs="Arial"/>
          <w:color w:val="000000" w:themeColor="text1"/>
          <w:sz w:val="22"/>
          <w14:textFill>
            <w14:solidFill>
              <w14:schemeClr w14:val="tx1"/>
            </w14:solidFill>
          </w14:textFill>
        </w:rPr>
      </w:pPr>
    </w:p>
    <w:p>
      <w:pPr>
        <w:widowControl/>
        <w:jc w:val="left"/>
        <w:rPr>
          <w:rFonts w:ascii="Arial" w:hAnsi="Arial" w:cs="Arial"/>
          <w:color w:val="000000" w:themeColor="text1"/>
          <w:sz w:val="22"/>
          <w14:textFill>
            <w14:solidFill>
              <w14:schemeClr w14:val="tx1"/>
            </w14:solidFill>
          </w14:textFill>
        </w:rPr>
      </w:pPr>
    </w:p>
    <w:p>
      <w:pPr>
        <w:widowControl/>
        <w:jc w:val="both"/>
        <w:rPr>
          <w:rFonts w:ascii="Arial" w:hAnsi="Arial" w:cs="Arial"/>
          <w:color w:val="000000" w:themeColor="text1"/>
          <w:sz w:val="22"/>
          <w14:textFill>
            <w14:solidFill>
              <w14:schemeClr w14:val="tx1"/>
            </w14:solidFill>
          </w14:textFill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0" w:usb1="00000000" w:usb2="00000000" w:usb3="00000000" w:csb0="0016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1"/>
    <w:family w:val="swiss"/>
    <w:pitch w:val="default"/>
    <w:sig w:usb0="00000000" w:usb1="00000000" w:usb2="00000000" w:usb3="00000000" w:csb0="00000000" w:csb1="00000000"/>
  </w:font>
  <w:font w:name="黑体">
    <w:panose1 w:val="02010609060101010101"/>
    <w:charset w:val="86"/>
    <w:family w:val="auto"/>
    <w:pitch w:val="default"/>
    <w:sig w:usb0="00000000" w:usb1="00000000" w:usb2="00000000" w:usb3="00000000" w:csb0="00160000" w:csb1="00000000"/>
  </w:font>
  <w:font w:name="Courier New">
    <w:panose1 w:val="02070309020205020404"/>
    <w:charset w:val="01"/>
    <w:family w:val="modern"/>
    <w:pitch w:val="default"/>
    <w:sig w:usb0="00000000" w:usb1="00000000" w:usb2="00000000" w:usb3="00000000" w:csb0="00000000" w:csb1="0000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00000000" w:usb1="00000000" w:usb2="00000000" w:usb3="00000000" w:csb0="0000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8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M5NzhiZDI4NzE0Yjk3ZTMyZjAzOTk5ZmE5NDE3ZjIifQ=="/>
  </w:docVars>
  <w:rsids>
    <w:rsidRoot w:val="00C859EE"/>
    <w:rsid w:val="0004721C"/>
    <w:rsid w:val="00135327"/>
    <w:rsid w:val="001A22AB"/>
    <w:rsid w:val="001A4E8C"/>
    <w:rsid w:val="00203F70"/>
    <w:rsid w:val="002E786F"/>
    <w:rsid w:val="003B7F82"/>
    <w:rsid w:val="00583E07"/>
    <w:rsid w:val="00906655"/>
    <w:rsid w:val="00AA2125"/>
    <w:rsid w:val="00C859EE"/>
    <w:rsid w:val="03754370"/>
    <w:rsid w:val="03DE0B29"/>
    <w:rsid w:val="06D26F63"/>
    <w:rsid w:val="12E67E73"/>
    <w:rsid w:val="1D975B9E"/>
    <w:rsid w:val="1EA0427D"/>
    <w:rsid w:val="22FC2F2D"/>
    <w:rsid w:val="27A2784B"/>
    <w:rsid w:val="284528F8"/>
    <w:rsid w:val="29BE402F"/>
    <w:rsid w:val="2CFE17B1"/>
    <w:rsid w:val="2EC13363"/>
    <w:rsid w:val="2FBF697B"/>
    <w:rsid w:val="34F14F12"/>
    <w:rsid w:val="3EEE3C66"/>
    <w:rsid w:val="3EF2310E"/>
    <w:rsid w:val="3F3B1786"/>
    <w:rsid w:val="4B753262"/>
    <w:rsid w:val="4EFF5B1C"/>
    <w:rsid w:val="505707E4"/>
    <w:rsid w:val="6439060A"/>
    <w:rsid w:val="6F1D349B"/>
    <w:rsid w:val="70B24DA0"/>
    <w:rsid w:val="71792D8B"/>
    <w:rsid w:val="738E624B"/>
    <w:rsid w:val="73DE7FC3"/>
    <w:rsid w:val="79B36073"/>
    <w:rsid w:val="CD990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bCs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nhideWhenUsed/>
    <w:qFormat/>
    <w:uiPriority w:val="99"/>
    <w:rPr>
      <w:rFonts w:ascii="Tahoma" w:hAnsi="Tahoma" w:cs="Tahoma"/>
      <w:sz w:val="16"/>
      <w:lang w:val="en-US"/>
    </w:rPr>
  </w:style>
  <w:style w:type="paragraph" w:styleId="3">
    <w:name w:val="Balloon Text"/>
    <w:basedOn w:val="1"/>
    <w:link w:val="17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qFormat/>
    <w:uiPriority w:val="99"/>
    <w:rPr>
      <w:sz w:val="24"/>
    </w:rPr>
  </w:style>
  <w:style w:type="table" w:styleId="8">
    <w:name w:val="Table Grid"/>
    <w:basedOn w:val="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Emphasis"/>
    <w:basedOn w:val="9"/>
    <w:qFormat/>
    <w:uiPriority w:val="20"/>
    <w:rPr>
      <w:i/>
    </w:rPr>
  </w:style>
  <w:style w:type="character" w:styleId="11">
    <w:name w:val="annotation reference"/>
    <w:basedOn w:val="9"/>
    <w:semiHidden/>
    <w:unhideWhenUsed/>
    <w:qFormat/>
    <w:uiPriority w:val="99"/>
    <w:rPr>
      <w:rFonts w:ascii="Tahoma" w:hAnsi="Tahoma" w:cs="Tahoma"/>
      <w:sz w:val="16"/>
      <w:szCs w:val="21"/>
      <w:u w:val="none"/>
    </w:rPr>
  </w:style>
  <w:style w:type="paragraph" w:customStyle="1" w:styleId="12">
    <w:name w:val="样式1"/>
    <w:basedOn w:val="1"/>
    <w:link w:val="13"/>
    <w:qFormat/>
    <w:uiPriority w:val="0"/>
    <w:rPr>
      <w:b/>
      <w:color w:val="548235" w:themeColor="accent6" w:themeShade="BF"/>
      <w:sz w:val="28"/>
    </w:rPr>
  </w:style>
  <w:style w:type="character" w:customStyle="1" w:styleId="13">
    <w:name w:val="样式1 Char"/>
    <w:basedOn w:val="9"/>
    <w:link w:val="12"/>
    <w:qFormat/>
    <w:uiPriority w:val="0"/>
    <w:rPr>
      <w:b/>
      <w:color w:val="548235" w:themeColor="accent6" w:themeShade="BF"/>
      <w:sz w:val="28"/>
    </w:rPr>
  </w:style>
  <w:style w:type="character" w:customStyle="1" w:styleId="14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5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6">
    <w:name w:val="font11"/>
    <w:basedOn w:val="9"/>
    <w:qFormat/>
    <w:uiPriority w:val="0"/>
    <w:rPr>
      <w:rFonts w:hint="default" w:ascii="Arial" w:hAnsi="Arial" w:cs="Arial"/>
      <w:color w:val="000000"/>
      <w:sz w:val="22"/>
      <w:szCs w:val="22"/>
      <w:u w:val="none"/>
    </w:rPr>
  </w:style>
  <w:style w:type="character" w:customStyle="1" w:styleId="17">
    <w:name w:val="批注框文本 字符"/>
    <w:basedOn w:val="9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Yozosoft</Company>
  <Pages>1</Pages>
  <Words>137</Words>
  <Characters>738</Characters>
  <Lines>3</Lines>
  <Paragraphs>1</Paragraphs>
  <TotalTime>1</TotalTime>
  <ScaleCrop>false</ScaleCrop>
  <LinksUpToDate>false</LinksUpToDate>
  <CharactersWithSpaces>871</CharactersWithSpaces>
  <Application>WPS Office_5.2.1.7798_F1E327BC-269C-435d-A152-05C5408002CA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2021-10-23T10:05:00Z</dcterms:created>
  <dc:creator>User274</dc:creator>
  <cp:lastModifiedBy>王杰</cp:lastModifiedBy>
  <dcterms:modified xsi:type="dcterms:W3CDTF">2023-03-18T21:34:53Z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2052-5.2.1.7798</vt:lpwstr>
  </property>
  <property fmtid="{D5CDD505-2E9C-101B-9397-08002B2CF9AE}" pid="3" name="ICV">
    <vt:lpwstr>1EF91CCC4197403B9D36A2EBC6A36D4C</vt:lpwstr>
  </property>
</Properties>
</file>